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4F" w:rsidRPr="00410B4F" w:rsidRDefault="00410B4F" w:rsidP="00410B4F">
      <w:pPr>
        <w:rPr>
          <w:lang w:eastAsia="ru-RU"/>
        </w:rPr>
      </w:pPr>
      <w:r w:rsidRPr="00410B4F">
        <w:rPr>
          <w:lang w:eastAsia="ru-RU"/>
        </w:rPr>
        <w:t>ПРЕЙСКУРАНТ ЦЕН на ультразвуковое исследование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УЛЬТРАЗВУКОВОЕ ИСЛЕДОВАНИЕ БРЮШНОЙ ПОЛОСТИ И ЗАБРЮШНОГО ПРОСТРАНСТВА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1594"/>
        <w:gridCol w:w="730"/>
      </w:tblGrid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ПОДГОТОВКА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руб.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органов брюшной полости ,почек, надпочечников, селезенки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натощак или за 5 часов после еды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ГБС (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гепатобилиарной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системы: печени, желчного пузыря, внутрипеченочные желчные протоки)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натощак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4 100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поджелудочной железы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желчного пузыря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натощак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желчного пузыря с определением функций (УЗХЦГ)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натощак, принести «пробный» завтрак (йогурт, бананы или вареные яйца)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2800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селезенки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почек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надпочечников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</w:tr>
    </w:tbl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УЛЬТРАЗВУКОВОЕ ИССЛЕДОВАНИЕ УРОНЕФРОЛОГИИ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4"/>
        <w:gridCol w:w="2259"/>
        <w:gridCol w:w="1077"/>
      </w:tblGrid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ПОДГОТОВКА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руб.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ТРУЗИ,УЗИ почек, УЗИ мочевого пузыря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микролакс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1.5-2.0 часа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иследования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наполненый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мочевой пузырь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5800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ТРУЗИ (УЗИ представительной железы внутриполостным датчиком)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микролакс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1.5-2.0 часа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иследования</w:t>
            </w:r>
            <w:proofErr w:type="spellEnd"/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УЗИ представительно железы(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абдомигальный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доступ)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наполненый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мочевой пузырь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мочевого пузыря (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абдомигальный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доступ и внутриполостным датчиком)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наполненый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мочевой пузырь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УЗИ мочевого пузыря с определением остаточной мочи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наполненый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мочевой пузырь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ТРУЗИ, УЗИ мочевого пузыря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Наполненый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мочевой пузырь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Микционная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соноуретрография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микролакс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1.5-2.0 часа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иследования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наполненый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мочевой пузырь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УЗИ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оргонов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мошонки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</w:tbl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УЛЬТРОЗВУКОВЫЕ ИСЛЕДОВАНИЯ МЯГКИХ ТКАНЕЙ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594"/>
        <w:gridCol w:w="730"/>
      </w:tblGrid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ПОДГОТОВКА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руб.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молочных желез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мягких тканей (одна область)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УЗИ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лимфотических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узлов (одна область)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суставов (одного)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одноименных суставов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щитовидной железы и региональных л/у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слюнных желез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</w:tr>
    </w:tbl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УЛЬТРАЗВУКОВЫЕ ИССЛЕДОВАНИЕ МАЛОГО ТАЗА У ЖЕНЩИН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594"/>
        <w:gridCol w:w="730"/>
      </w:tblGrid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ПОДГОТОВКА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руб.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УЗИ малого таза (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трансабдоминально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наполненый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мочевой пузырь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малого таза (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трансвагинально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УЗИ 1-й триместр беременности  (0-12 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нед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2-3 триместр беременности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яичников (фолликула-</w:t>
            </w:r>
            <w:proofErr w:type="spellStart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фолликулометрия</w:t>
            </w:r>
            <w:proofErr w:type="spellEnd"/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</w:tr>
    </w:tbl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lastRenderedPageBreak/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ДУПЛЕКСНОЕ СКАНИРОВАНИЕ ВЕН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594"/>
        <w:gridCol w:w="730"/>
      </w:tblGrid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ПОДГОТОВКА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руб.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Дуплексное сканирование аорты (УЗДГ)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Дуплексное сканирование артерий нижних конечностей (УЗДАС)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</w:tr>
    </w:tbl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410B4F" w:rsidRPr="00410B4F" w:rsidRDefault="00410B4F" w:rsidP="00410B4F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410B4F">
        <w:rPr>
          <w:rFonts w:ascii="Arial" w:hAnsi="Arial" w:cs="Arial"/>
          <w:color w:val="353A41"/>
          <w:sz w:val="23"/>
          <w:szCs w:val="23"/>
          <w:lang w:eastAsia="ru-RU"/>
        </w:rPr>
        <w:t>ДОПОЛНИТЕЛЬНЫЕ УЛЬТРАЗВУКОВЫЕ ИССЛЕДОВАНИЯ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594"/>
        <w:gridCol w:w="730"/>
      </w:tblGrid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ПОДГОТОВКА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руб.</w:t>
            </w:r>
          </w:p>
        </w:tc>
      </w:tr>
      <w:tr w:rsidR="00410B4F" w:rsidRPr="00410B4F" w:rsidTr="00410B4F">
        <w:trPr>
          <w:tblCellSpacing w:w="0" w:type="dxa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плевральной полости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410B4F" w:rsidRPr="00410B4F" w:rsidRDefault="00410B4F" w:rsidP="00410B4F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410B4F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</w:tr>
    </w:tbl>
    <w:p w:rsidR="006E2C4D" w:rsidRDefault="006E2C4D" w:rsidP="00410B4F"/>
    <w:sectPr w:rsidR="006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4F"/>
    <w:rsid w:val="00410B4F"/>
    <w:rsid w:val="006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4AF8-959A-4395-BA98-C2A1D664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1974</Characters>
  <Application>Microsoft Office Word</Application>
  <DocSecurity>0</DocSecurity>
  <Lines>16</Lines>
  <Paragraphs>4</Paragraphs>
  <ScaleCrop>false</ScaleCrop>
  <Company>diakov.net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</cp:revision>
  <dcterms:created xsi:type="dcterms:W3CDTF">2019-03-13T18:44:00Z</dcterms:created>
  <dcterms:modified xsi:type="dcterms:W3CDTF">2019-03-13T18:45:00Z</dcterms:modified>
</cp:coreProperties>
</file>